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Ind w:w="108" w:type="dxa"/>
        <w:tblCellMar>
          <w:left w:w="0" w:type="dxa"/>
          <w:right w:w="0" w:type="dxa"/>
        </w:tblCellMar>
        <w:tblLook w:val="04A0" w:firstRow="1" w:lastRow="0" w:firstColumn="1" w:lastColumn="0" w:noHBand="0" w:noVBand="1"/>
      </w:tblPr>
      <w:tblGrid>
        <w:gridCol w:w="4180"/>
        <w:gridCol w:w="7895"/>
      </w:tblGrid>
      <w:tr w:rsidR="00332D9C" w:rsidRPr="00332D9C" w:rsidTr="00332D9C">
        <w:trPr>
          <w:trHeight w:val="915"/>
        </w:trPr>
        <w:tc>
          <w:tcPr>
            <w:tcW w:w="3240" w:type="dxa"/>
            <w:tcBorders>
              <w:top w:val="nil"/>
              <w:left w:val="nil"/>
              <w:bottom w:val="nil"/>
              <w:right w:val="nil"/>
            </w:tcBorders>
            <w:tcMar>
              <w:top w:w="0" w:type="dxa"/>
              <w:left w:w="108" w:type="dxa"/>
              <w:bottom w:w="0" w:type="dxa"/>
              <w:right w:w="108" w:type="dxa"/>
            </w:tcMar>
            <w:hideMark/>
          </w:tcPr>
          <w:p w:rsidR="00332D9C" w:rsidRPr="00332D9C" w:rsidRDefault="00332D9C" w:rsidP="00332D9C">
            <w:pPr>
              <w:spacing w:after="0" w:line="330" w:lineRule="atLeast"/>
              <w:jc w:val="center"/>
              <w:rPr>
                <w:rFonts w:eastAsia="Times New Roman" w:cs="Times New Roman"/>
                <w:color w:val="222222"/>
                <w:szCs w:val="28"/>
              </w:rPr>
            </w:pPr>
            <w:r w:rsidRPr="00332D9C">
              <w:rPr>
                <w:rFonts w:eastAsia="Times New Roman" w:cs="Times New Roman"/>
                <w:b/>
                <w:bCs/>
                <w:color w:val="222222"/>
                <w:szCs w:val="28"/>
              </w:rPr>
              <w:t>CHÍNH PHỦ</w:t>
            </w:r>
            <w:r w:rsidRPr="00332D9C">
              <w:rPr>
                <w:rFonts w:eastAsia="Times New Roman" w:cs="Times New Roman"/>
                <w:b/>
                <w:bCs/>
                <w:color w:val="222222"/>
                <w:szCs w:val="28"/>
              </w:rPr>
              <w:br/>
              <w:t>-------</w:t>
            </w:r>
          </w:p>
          <w:p w:rsidR="00332D9C" w:rsidRPr="00332D9C" w:rsidRDefault="00332D9C" w:rsidP="00332D9C">
            <w:pPr>
              <w:spacing w:after="0" w:line="330" w:lineRule="atLeast"/>
              <w:jc w:val="center"/>
              <w:rPr>
                <w:rFonts w:eastAsia="Times New Roman" w:cs="Times New Roman"/>
                <w:color w:val="222222"/>
                <w:szCs w:val="28"/>
              </w:rPr>
            </w:pPr>
            <w:r w:rsidRPr="00332D9C">
              <w:rPr>
                <w:rFonts w:eastAsia="Times New Roman" w:cs="Times New Roman"/>
                <w:color w:val="222222"/>
                <w:szCs w:val="28"/>
              </w:rPr>
              <w:t>Số: 128/2018/NĐ-CP</w:t>
            </w:r>
          </w:p>
        </w:tc>
        <w:tc>
          <w:tcPr>
            <w:tcW w:w="6120" w:type="dxa"/>
            <w:tcBorders>
              <w:top w:val="nil"/>
              <w:left w:val="nil"/>
              <w:bottom w:val="nil"/>
              <w:right w:val="nil"/>
            </w:tcBorders>
            <w:tcMar>
              <w:top w:w="0" w:type="dxa"/>
              <w:left w:w="108" w:type="dxa"/>
              <w:bottom w:w="0" w:type="dxa"/>
              <w:right w:w="108" w:type="dxa"/>
            </w:tcMar>
            <w:hideMark/>
          </w:tcPr>
          <w:p w:rsidR="00332D9C" w:rsidRPr="00332D9C" w:rsidRDefault="00332D9C" w:rsidP="00332D9C">
            <w:pPr>
              <w:spacing w:after="0" w:line="330" w:lineRule="atLeast"/>
              <w:rPr>
                <w:rFonts w:eastAsia="Times New Roman" w:cs="Times New Roman"/>
                <w:color w:val="222222"/>
                <w:szCs w:val="28"/>
              </w:rPr>
            </w:pPr>
            <w:r w:rsidRPr="00332D9C">
              <w:rPr>
                <w:rFonts w:eastAsia="Times New Roman" w:cs="Times New Roman"/>
                <w:b/>
                <w:bCs/>
                <w:color w:val="222222"/>
                <w:szCs w:val="28"/>
              </w:rPr>
              <w:t>CỘNG HÒA XÃ HỘI CHỦ NGHĨA VIỆT NAM</w:t>
            </w:r>
            <w:r w:rsidRPr="00332D9C">
              <w:rPr>
                <w:rFonts w:eastAsia="Times New Roman" w:cs="Times New Roman"/>
                <w:b/>
                <w:bCs/>
                <w:color w:val="222222"/>
                <w:szCs w:val="28"/>
              </w:rPr>
              <w:br/>
              <w:t>Độc lập - Tự do - Hạnh phúc</w:t>
            </w:r>
            <w:r w:rsidRPr="00332D9C">
              <w:rPr>
                <w:rFonts w:eastAsia="Times New Roman" w:cs="Times New Roman"/>
                <w:b/>
                <w:bCs/>
                <w:color w:val="222222"/>
                <w:szCs w:val="28"/>
              </w:rPr>
              <w:br/>
              <w:t>---------------</w:t>
            </w:r>
          </w:p>
          <w:p w:rsidR="00332D9C" w:rsidRPr="00332D9C" w:rsidRDefault="00332D9C" w:rsidP="00332D9C">
            <w:pPr>
              <w:spacing w:after="0" w:line="330" w:lineRule="atLeast"/>
              <w:jc w:val="center"/>
              <w:rPr>
                <w:rFonts w:eastAsia="Times New Roman" w:cs="Times New Roman"/>
                <w:color w:val="222222"/>
                <w:szCs w:val="28"/>
              </w:rPr>
            </w:pPr>
            <w:r w:rsidRPr="00332D9C">
              <w:rPr>
                <w:rFonts w:eastAsia="Times New Roman" w:cs="Times New Roman"/>
                <w:i/>
                <w:iCs/>
                <w:color w:val="222222"/>
                <w:szCs w:val="28"/>
              </w:rPr>
              <w:t>Hà Nội, ngày 24 tháng 9 năm 2018</w:t>
            </w:r>
          </w:p>
        </w:tc>
      </w:tr>
    </w:tbl>
    <w:p w:rsidR="00332D9C" w:rsidRPr="00332D9C" w:rsidRDefault="00332D9C" w:rsidP="00332D9C">
      <w:pPr>
        <w:spacing w:after="100" w:afterAutospacing="1" w:line="240" w:lineRule="auto"/>
        <w:rPr>
          <w:rFonts w:eastAsia="Times New Roman" w:cs="Times New Roman"/>
          <w:szCs w:val="28"/>
        </w:rPr>
      </w:pPr>
      <w:r w:rsidRPr="00332D9C">
        <w:rPr>
          <w:rFonts w:eastAsia="Times New Roman" w:cs="Times New Roman"/>
          <w:szCs w:val="28"/>
        </w:rPr>
        <w:t> </w:t>
      </w:r>
    </w:p>
    <w:p w:rsidR="00332D9C" w:rsidRPr="00332D9C" w:rsidRDefault="00332D9C" w:rsidP="00332D9C">
      <w:pPr>
        <w:spacing w:after="100" w:afterAutospacing="1" w:line="240" w:lineRule="auto"/>
        <w:rPr>
          <w:rFonts w:eastAsia="Times New Roman" w:cs="Times New Roman"/>
          <w:szCs w:val="28"/>
        </w:rPr>
      </w:pPr>
      <w:bookmarkStart w:id="0" w:name="_GoBack"/>
      <w:bookmarkEnd w:id="0"/>
    </w:p>
    <w:p w:rsidR="00332D9C" w:rsidRPr="00332D9C" w:rsidRDefault="00332D9C" w:rsidP="00332D9C">
      <w:pPr>
        <w:spacing w:after="100" w:afterAutospacing="1" w:line="240" w:lineRule="auto"/>
        <w:jc w:val="center"/>
        <w:rPr>
          <w:rFonts w:eastAsia="Times New Roman" w:cs="Times New Roman"/>
          <w:szCs w:val="28"/>
        </w:rPr>
      </w:pPr>
      <w:r w:rsidRPr="00332D9C">
        <w:rPr>
          <w:rFonts w:eastAsia="Times New Roman" w:cs="Times New Roman"/>
          <w:b/>
          <w:bCs/>
          <w:szCs w:val="28"/>
        </w:rPr>
        <w:t>NGHỊ ĐỊNH</w:t>
      </w:r>
    </w:p>
    <w:p w:rsidR="00332D9C" w:rsidRPr="00332D9C" w:rsidRDefault="00332D9C" w:rsidP="00332D9C">
      <w:pPr>
        <w:spacing w:after="100" w:afterAutospacing="1" w:line="240" w:lineRule="auto"/>
        <w:jc w:val="center"/>
        <w:rPr>
          <w:rFonts w:eastAsia="Times New Roman" w:cs="Times New Roman"/>
          <w:szCs w:val="28"/>
        </w:rPr>
      </w:pPr>
      <w:r w:rsidRPr="00332D9C">
        <w:rPr>
          <w:rFonts w:eastAsia="Times New Roman" w:cs="Times New Roman"/>
          <w:b/>
          <w:bCs/>
          <w:szCs w:val="28"/>
        </w:rPr>
        <w:t>SỬA ĐỔI, BỔ SUNG MỘT SỐ ĐIỀU CỦA CÁC NGHỊ ĐỊNH QUY ĐỊNH VỀ ĐIỀU KIỆN ĐẦU TƯ, KINH DOANH TRONG LĨNH VỰC ĐƯỜNG THỦY NỘI ĐỊA</w:t>
      </w:r>
    </w:p>
    <w:p w:rsidR="00332D9C" w:rsidRPr="00332D9C" w:rsidRDefault="00332D9C" w:rsidP="00332D9C">
      <w:pPr>
        <w:spacing w:after="100" w:afterAutospacing="1" w:line="240" w:lineRule="auto"/>
        <w:rPr>
          <w:rFonts w:eastAsia="Times New Roman" w:cs="Times New Roman"/>
          <w:szCs w:val="28"/>
        </w:rPr>
      </w:pPr>
      <w:r w:rsidRPr="00332D9C">
        <w:rPr>
          <w:rFonts w:eastAsia="Times New Roman" w:cs="Times New Roman"/>
          <w:szCs w:val="28"/>
        </w:rPr>
        <w:t> </w:t>
      </w:r>
    </w:p>
    <w:p w:rsidR="00332D9C" w:rsidRPr="00332D9C" w:rsidRDefault="00332D9C" w:rsidP="00332D9C">
      <w:pPr>
        <w:spacing w:after="120" w:line="240" w:lineRule="auto"/>
        <w:ind w:firstLine="720"/>
        <w:jc w:val="both"/>
        <w:rPr>
          <w:rFonts w:eastAsia="Times New Roman" w:cs="Times New Roman"/>
          <w:szCs w:val="28"/>
        </w:rPr>
      </w:pPr>
      <w:r w:rsidRPr="00332D9C">
        <w:rPr>
          <w:rFonts w:eastAsia="Times New Roman" w:cs="Times New Roman"/>
          <w:i/>
          <w:iCs/>
          <w:szCs w:val="28"/>
        </w:rPr>
        <w:t>Căn cứ </w:t>
      </w:r>
      <w:hyperlink r:id="rId5" w:tgtFrame="_blank" w:history="1">
        <w:r w:rsidRPr="00332D9C">
          <w:rPr>
            <w:rFonts w:eastAsia="Times New Roman" w:cs="Times New Roman"/>
            <w:i/>
            <w:iCs/>
            <w:color w:val="0000FF"/>
            <w:szCs w:val="28"/>
            <w:u w:val="single"/>
          </w:rPr>
          <w:t>Luật tổ chức Chính phủ</w:t>
        </w:r>
      </w:hyperlink>
      <w:r w:rsidRPr="00332D9C">
        <w:rPr>
          <w:rFonts w:eastAsia="Times New Roman" w:cs="Times New Roman"/>
          <w:i/>
          <w:iCs/>
          <w:szCs w:val="28"/>
        </w:rPr>
        <w:t> ngày 19 tháng 6 năm 2015;</w:t>
      </w:r>
    </w:p>
    <w:p w:rsidR="00332D9C" w:rsidRPr="00332D9C" w:rsidRDefault="00332D9C" w:rsidP="00332D9C">
      <w:pPr>
        <w:spacing w:after="120" w:line="240" w:lineRule="auto"/>
        <w:ind w:firstLine="720"/>
        <w:jc w:val="both"/>
        <w:rPr>
          <w:rFonts w:eastAsia="Times New Roman" w:cs="Times New Roman"/>
          <w:szCs w:val="28"/>
        </w:rPr>
      </w:pPr>
      <w:r w:rsidRPr="00332D9C">
        <w:rPr>
          <w:rFonts w:eastAsia="Times New Roman" w:cs="Times New Roman"/>
          <w:i/>
          <w:iCs/>
          <w:szCs w:val="28"/>
        </w:rPr>
        <w:t>Căn cứ </w:t>
      </w:r>
      <w:hyperlink r:id="rId6" w:tgtFrame="_blank" w:history="1">
        <w:r w:rsidRPr="00332D9C">
          <w:rPr>
            <w:rFonts w:eastAsia="Times New Roman" w:cs="Times New Roman"/>
            <w:i/>
            <w:iCs/>
            <w:color w:val="0000FF"/>
            <w:szCs w:val="28"/>
            <w:u w:val="single"/>
          </w:rPr>
          <w:t>Luật giao thông đường thủy nội địa</w:t>
        </w:r>
      </w:hyperlink>
      <w:r w:rsidRPr="00332D9C">
        <w:rPr>
          <w:rFonts w:eastAsia="Times New Roman" w:cs="Times New Roman"/>
          <w:i/>
          <w:iCs/>
          <w:szCs w:val="28"/>
        </w:rPr>
        <w:t> ngày 15 tháng 6 năm 2004 và </w:t>
      </w:r>
      <w:hyperlink r:id="rId7" w:tgtFrame="_blank" w:history="1">
        <w:r w:rsidRPr="00332D9C">
          <w:rPr>
            <w:rFonts w:eastAsia="Times New Roman" w:cs="Times New Roman"/>
            <w:i/>
            <w:iCs/>
            <w:color w:val="0000FF"/>
            <w:szCs w:val="28"/>
            <w:u w:val="single"/>
          </w:rPr>
          <w:t>Luật sửa đổi, bổ sung một số điều của Luật giao thông đường thủy nội địa</w:t>
        </w:r>
      </w:hyperlink>
      <w:r w:rsidRPr="00332D9C">
        <w:rPr>
          <w:rFonts w:eastAsia="Times New Roman" w:cs="Times New Roman"/>
          <w:i/>
          <w:iCs/>
          <w:szCs w:val="28"/>
        </w:rPr>
        <w:t> ngày 17 tháng 6 năm 2014;</w:t>
      </w:r>
    </w:p>
    <w:p w:rsidR="00332D9C" w:rsidRPr="00332D9C" w:rsidRDefault="00332D9C" w:rsidP="00332D9C">
      <w:pPr>
        <w:spacing w:after="120" w:line="240" w:lineRule="auto"/>
        <w:ind w:firstLine="720"/>
        <w:jc w:val="both"/>
        <w:rPr>
          <w:rFonts w:eastAsia="Times New Roman" w:cs="Times New Roman"/>
          <w:szCs w:val="28"/>
        </w:rPr>
      </w:pPr>
      <w:r w:rsidRPr="00332D9C">
        <w:rPr>
          <w:rFonts w:eastAsia="Times New Roman" w:cs="Times New Roman"/>
          <w:i/>
          <w:iCs/>
          <w:szCs w:val="28"/>
        </w:rPr>
        <w:t>Căn cứ </w:t>
      </w:r>
      <w:hyperlink r:id="rId8" w:tgtFrame="_blank" w:history="1">
        <w:r w:rsidRPr="00332D9C">
          <w:rPr>
            <w:rFonts w:eastAsia="Times New Roman" w:cs="Times New Roman"/>
            <w:i/>
            <w:iCs/>
            <w:color w:val="0000FF"/>
            <w:szCs w:val="28"/>
            <w:u w:val="single"/>
          </w:rPr>
          <w:t>Luật đầu tư</w:t>
        </w:r>
      </w:hyperlink>
      <w:r w:rsidRPr="00332D9C">
        <w:rPr>
          <w:rFonts w:eastAsia="Times New Roman" w:cs="Times New Roman"/>
          <w:i/>
          <w:iCs/>
          <w:szCs w:val="28"/>
        </w:rPr>
        <w:t> ngày 26 tháng 11 năm 2014 và </w:t>
      </w:r>
      <w:hyperlink r:id="rId9" w:tgtFrame="_blank" w:history="1">
        <w:r w:rsidRPr="00332D9C">
          <w:rPr>
            <w:rFonts w:eastAsia="Times New Roman" w:cs="Times New Roman"/>
            <w:i/>
            <w:iCs/>
            <w:color w:val="0000FF"/>
            <w:szCs w:val="28"/>
            <w:u w:val="single"/>
          </w:rPr>
          <w:t>Luật sửa đổi, bổ sung Điều 6 và Phụ lục 4 về Danh mục ngành, nghề đầu tư kinh doanh có điều kiện của Luật đầu tư</w:t>
        </w:r>
      </w:hyperlink>
      <w:r w:rsidRPr="00332D9C">
        <w:rPr>
          <w:rFonts w:eastAsia="Times New Roman" w:cs="Times New Roman"/>
          <w:i/>
          <w:iCs/>
          <w:szCs w:val="28"/>
        </w:rPr>
        <w:t> ngày 22 tháng 11 năm 2016;</w:t>
      </w:r>
    </w:p>
    <w:p w:rsidR="00332D9C" w:rsidRPr="00332D9C" w:rsidRDefault="00332D9C" w:rsidP="00332D9C">
      <w:pPr>
        <w:spacing w:after="120" w:line="240" w:lineRule="auto"/>
        <w:ind w:firstLine="720"/>
        <w:jc w:val="both"/>
        <w:rPr>
          <w:rFonts w:eastAsia="Times New Roman" w:cs="Times New Roman"/>
          <w:szCs w:val="28"/>
        </w:rPr>
      </w:pPr>
      <w:r w:rsidRPr="00332D9C">
        <w:rPr>
          <w:rFonts w:eastAsia="Times New Roman" w:cs="Times New Roman"/>
          <w:i/>
          <w:iCs/>
          <w:szCs w:val="28"/>
        </w:rPr>
        <w:t>Căn cứ </w:t>
      </w:r>
      <w:hyperlink r:id="rId10" w:tgtFrame="_blank" w:history="1">
        <w:r w:rsidRPr="00332D9C">
          <w:rPr>
            <w:rFonts w:eastAsia="Times New Roman" w:cs="Times New Roman"/>
            <w:i/>
            <w:iCs/>
            <w:color w:val="0000FF"/>
            <w:szCs w:val="28"/>
            <w:u w:val="single"/>
          </w:rPr>
          <w:t>Luật giáo dục nghề nghiệp</w:t>
        </w:r>
      </w:hyperlink>
      <w:r w:rsidRPr="00332D9C">
        <w:rPr>
          <w:rFonts w:eastAsia="Times New Roman" w:cs="Times New Roman"/>
          <w:i/>
          <w:iCs/>
          <w:szCs w:val="28"/>
        </w:rPr>
        <w:t> ngày 21 tháng 11 năm 2014;</w:t>
      </w:r>
    </w:p>
    <w:p w:rsidR="00332D9C" w:rsidRPr="00332D9C" w:rsidRDefault="00332D9C" w:rsidP="00332D9C">
      <w:pPr>
        <w:spacing w:after="120" w:line="240" w:lineRule="auto"/>
        <w:ind w:firstLine="720"/>
        <w:jc w:val="both"/>
        <w:rPr>
          <w:rFonts w:eastAsia="Times New Roman" w:cs="Times New Roman"/>
          <w:szCs w:val="28"/>
        </w:rPr>
      </w:pPr>
      <w:r w:rsidRPr="00332D9C">
        <w:rPr>
          <w:rFonts w:eastAsia="Times New Roman" w:cs="Times New Roman"/>
          <w:i/>
          <w:iCs/>
          <w:szCs w:val="28"/>
        </w:rPr>
        <w:t>Theo đề nghị của Bộ trưởng Bộ Giao thông vận tải;</w:t>
      </w:r>
    </w:p>
    <w:p w:rsidR="00332D9C" w:rsidRPr="00332D9C" w:rsidRDefault="00332D9C" w:rsidP="00332D9C">
      <w:pPr>
        <w:spacing w:after="120" w:line="240" w:lineRule="auto"/>
        <w:ind w:firstLine="720"/>
        <w:jc w:val="both"/>
        <w:rPr>
          <w:rFonts w:eastAsia="Times New Roman" w:cs="Times New Roman"/>
          <w:szCs w:val="28"/>
        </w:rPr>
      </w:pPr>
      <w:r w:rsidRPr="00332D9C">
        <w:rPr>
          <w:rFonts w:eastAsia="Times New Roman" w:cs="Times New Roman"/>
          <w:i/>
          <w:iCs/>
          <w:szCs w:val="28"/>
        </w:rPr>
        <w:t>Chính phủ ban hành Nghị định sửa đổi, bổ sung một số điều của các Nghị định quy định về điều kiện đầu tư, kinh doanh trong lĩnh vực đường thủy nội địa.</w:t>
      </w:r>
    </w:p>
    <w:p w:rsidR="00332D9C" w:rsidRPr="00332D9C" w:rsidRDefault="00332D9C" w:rsidP="00332D9C">
      <w:pPr>
        <w:spacing w:after="100" w:afterAutospacing="1" w:line="240" w:lineRule="auto"/>
        <w:rPr>
          <w:rFonts w:eastAsia="Times New Roman" w:cs="Times New Roman"/>
          <w:szCs w:val="28"/>
        </w:rPr>
      </w:pPr>
      <w:r w:rsidRPr="00332D9C">
        <w:rPr>
          <w:rFonts w:eastAsia="Times New Roman" w:cs="Times New Roman"/>
          <w:szCs w:val="28"/>
        </w:rPr>
        <w:t> </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b/>
          <w:bCs/>
          <w:szCs w:val="28"/>
        </w:rPr>
        <w:t>Điều 1. Sửa đổi, bổ sung một số điều của </w:t>
      </w:r>
      <w:hyperlink r:id="rId11" w:tgtFrame="_blank" w:history="1">
        <w:r w:rsidRPr="00332D9C">
          <w:rPr>
            <w:rFonts w:eastAsia="Times New Roman" w:cs="Times New Roman"/>
            <w:b/>
            <w:bCs/>
            <w:color w:val="0000FF"/>
            <w:szCs w:val="28"/>
            <w:u w:val="single"/>
          </w:rPr>
          <w:t>Nghị định số 110/2014/NĐ-CP</w:t>
        </w:r>
      </w:hyperlink>
      <w:r w:rsidRPr="00332D9C">
        <w:rPr>
          <w:rFonts w:eastAsia="Times New Roman" w:cs="Times New Roman"/>
          <w:b/>
          <w:bCs/>
          <w:szCs w:val="28"/>
        </w:rPr>
        <w:t> ngày 20 tháng 11 năm 2014 của Chính phủ quy định điều kiện kinh doanh vận tải đường thủy nội địa như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1. Sửa đổi khoản 1 Điều 3 như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“1. Đơn vị kinh doanh vận tải thủy nội địa là doanh nghiệp, hợp tác xã tham gia kinh doanh vận tải bằng phương tiện thủy nội địa”.</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2. Sửa đổi, bổ sung Điều 6 như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b/>
          <w:bCs/>
          <w:szCs w:val="28"/>
        </w:rPr>
        <w:t>“Điều 6. Điều kiện kinh doanh vận tải hành khách theo tuyến cố định, điều kiện kinh doanh vận tải hành khách theo hợp đồng chuyến và điều kiện kinh doanh vận chuyển khách du lịch</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Đơn vị kinh doanh vận tải phải thành lập doanh nghiệp hoặc hợp tác xã theo quy định của pháp luật Việt Nam”.</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3. Sửa đổi, bổ sung Điều 19 như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b/>
          <w:bCs/>
          <w:szCs w:val="28"/>
        </w:rPr>
        <w:lastRenderedPageBreak/>
        <w:t>“Điều 19. Điều khoản chuyển tiếp</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Đơn vị đang hoạt động kinh doanh vận tải hành khách trên đường thủy nội địa trước ngày có hiệu lực thi hành của Nghị định này thì vẫn được tiếp tục thực hiện kinh doanh”.</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4. Bãi bỏ Điều 5, Điều 7, Điều 8, Điều 9, Điều 10, khoản 4 Điều 11 Nghị định số 110/2014/NĐ-CP ngày 20 tháng 11 năm 2014 của Chính phủ quy định về điều kiện kinh doanh vận tải đường thủy nội địa.</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b/>
          <w:bCs/>
          <w:szCs w:val="28"/>
        </w:rPr>
        <w:t>Điều 2. Sửa đổi, bổ sung một số điều của </w:t>
      </w:r>
      <w:hyperlink r:id="rId12" w:tgtFrame="_blank" w:history="1">
        <w:r w:rsidRPr="00332D9C">
          <w:rPr>
            <w:rFonts w:eastAsia="Times New Roman" w:cs="Times New Roman"/>
            <w:b/>
            <w:bCs/>
            <w:color w:val="0000FF"/>
            <w:szCs w:val="28"/>
            <w:u w:val="single"/>
          </w:rPr>
          <w:t>Nghị định số 78/2016/NĐ-CP</w:t>
        </w:r>
      </w:hyperlink>
      <w:r w:rsidRPr="00332D9C">
        <w:rPr>
          <w:rFonts w:eastAsia="Times New Roman" w:cs="Times New Roman"/>
          <w:b/>
          <w:bCs/>
          <w:szCs w:val="28"/>
        </w:rPr>
        <w:t> ngày 01 tháng 7 năm 2016 của Chính phủ quy định điều kiện kinh doanh dịch vụ đào tạo thuyền viên, người lái phương tiện thủy nội địa như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1. Sửa đổi, bổ sung Điều 5 như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b/>
          <w:bCs/>
          <w:szCs w:val="28"/>
        </w:rPr>
        <w:t>“Điều 5. Điều kiện về phòng học chuyên môn, phòng thi, kiểm tra</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Hệ thống phòng học chuyên môn và phòng thi, kiểm tra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Phòng học pháp luật về giao thông đường thủy nội địa, phòng học điều khiển phương tiện thủy nội địa, phòng học lý thuyết máy - điện và phòng học thủy nghiệp cơ bản. Phòng thi, kiểm tra có thể được bố trí chung với các phòng học chuyên môn.”.</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2. Sửa đổi, bổ sung Điều 6 như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b/>
          <w:bCs/>
          <w:szCs w:val="28"/>
        </w:rPr>
        <w:t>“Điều 6. Xưởng thực hành</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Các xưởng thực hành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Xưởng thực hành nguội - cơ khí, thực hành máy - điện.”.</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3. Sửa đổi, bổ sung Điều 7 như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b/>
          <w:bCs/>
          <w:szCs w:val="28"/>
        </w:rPr>
        <w:t>“Điều 7. Khu vực dạy thực hành lái và vận hành máy</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1. Khu vực dạy thực hành lái và vận hành máy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2. Phương tiện thực hành phải có giấy tờ hợp pháp về đăng ký, đăng kiểm, các trang thiết bị phục vụ hành trình, cứu sinh, cứu hỏa, cứu thủng và phải treo biển "Phương tiện huấn luyện" ở vị trí dễ quan sát trong khi huấn luyện.”.</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4. Sửa đổi, bổ sung Điều 8 như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b/>
          <w:bCs/>
          <w:szCs w:val="28"/>
        </w:rPr>
        <w:t>“Điều 8. Nội dung, chương trình đào tạo thuyền viên, người lái phương tiện thủy nội địa</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Nội dung, chương trình đào tạo thuyền viên, người lái phương tiện thủy nội địa được thực hiện theo quy định của Bộ trưởng Bộ Giao thông vận tải”.</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lastRenderedPageBreak/>
        <w:t>5. Sửa đổi, bổ sung Điều 9 như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b/>
          <w:bCs/>
          <w:szCs w:val="28"/>
        </w:rPr>
        <w:t>“Điều 9. Đội ngũ giáo viên</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1. Tiêu chuẩn của đội ngũ giáo viên được thực hiện theo quy định của pháp luật về giáo dục nghề nghiệp.</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2. Đối với giáo viên dạy thực hành, ngoài tiêu chuẩn quy định tại khoản 1 Điều này, còn phải bảo đảm các tiêu chuẩn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a) Giáo viên dạy thực hành thuyền trưởng, máy trưởng phải có giấy chứng nhận khả năng chuyên môn thuyền trưởng, máy trưởng cao hơn ít nhất 01 hạng so với hạng giấy chứng nhận khả năng chuyên môn được phân công giảng dạy;</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b) Giáo viên dạy thực hành thuyền trưởng, máy trưởng hạng nhất phải có giấy chứng nhận khả năng chuyên môn thuyền trưởng, máy trưởng hạng nhất và có thời gian đảm nhiệm chức danh hạng nhất từ 36 tháng trở lên”.</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6. Sửa đổi, bổ sung Điều 15 như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b/>
          <w:bCs/>
          <w:szCs w:val="28"/>
        </w:rPr>
        <w:t>“Điều 15. Điều khoản chuyển tiếp</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Cơ sở đào tạo đã được cấp Giấy chứng nhận cơ sở đủ điều kiện kinh doanh dịch vụ đào tạo thuyền viên, người lái phương tiện thủy nội địa trước ngày có hiệu lực thi hành của Nghị định này thì tiếp tục được hoạt động đến hết thời hạn của Giấy chứng nhận.</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Trường hợp Giấy chứng nhận cơ sở đào tạo thuyền viên, người lái phương tiện thủy nội địa chưa hết thời hạn nhưng có nhu cầu cấp mới thì chủ cơ sở tiến hành làm thủ tục theo quy định của Nghị định này”.</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b/>
          <w:bCs/>
          <w:szCs w:val="28"/>
        </w:rPr>
        <w:t>Điều 3. Sửa đổi, bổ sung Điều 6 </w:t>
      </w:r>
      <w:hyperlink r:id="rId13" w:tgtFrame="_blank" w:history="1">
        <w:r w:rsidRPr="00332D9C">
          <w:rPr>
            <w:rFonts w:eastAsia="Times New Roman" w:cs="Times New Roman"/>
            <w:b/>
            <w:bCs/>
            <w:color w:val="0000FF"/>
            <w:szCs w:val="28"/>
            <w:u w:val="single"/>
          </w:rPr>
          <w:t>Nghị định số 24/2015/NĐ-CP</w:t>
        </w:r>
      </w:hyperlink>
      <w:r w:rsidRPr="00332D9C">
        <w:rPr>
          <w:rFonts w:eastAsia="Times New Roman" w:cs="Times New Roman"/>
          <w:b/>
          <w:bCs/>
          <w:szCs w:val="28"/>
        </w:rPr>
        <w:t> ngày 27 tháng 02 năm 2015 của Chính phủ quy định chi tiết và biện pháp thi hành một số điều của Luật Giao thông đường thủy nội địa và Luật sửa đổi, bổ sung một số điều của Luật Giao thông đường thủy nội địa như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1. Sửa đổi, bổ sung Điều 6 như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b/>
          <w:bCs/>
          <w:szCs w:val="28"/>
        </w:rPr>
        <w:t>“Điều 6. Điều kiện kinh doanh của cơ sở đóng mới, hoán cải, sửa chữa phục hồi phương tiện thủy nội địa</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1. Cơ sở đóng mới, hoán cải, sửa chữa phục hồi phương tiện thủy nội địa phải thành lập doanh nghiệp hoặc Hợp tác xã theo quy định của pháp luật Việt Nam.</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2. Có cơ sở vật chất, trang thiết bị, quy trình công nghệ và năng lực thi công phù hợp với chủng loại, kích cỡ phương tiện thủy nội địa được sản xuất, kinh doanh dịch vụ theo Quy chuẩn kỹ thuật quốc gia do Bộ trưởng Bộ Giao thông vận tải ban hành.</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3. Có nhân lực đáp ứng yêu cầu hoạt động sản xuất, kinh doanh, cụ thể như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a) Đối với cơ sở đóng mới, hoán cải, sửa chữa phục hồi các loại phương tiện có sức chở từ 50 người trở lên; phương tiện không có động cơ nhưng có trọng tải toàn phần từ 200 tấn trở lên; phương tiện có động cơ với tổng công suất máy chính từ 135 sức ngựa trở lên; phương tiện chuyên dùng như ụ nổi, bến nổi, thiết bị thi công nổi, nhà nổi, khách sạn nổi, tàu cuốc, tàu hút và các loại phương tiện thủy nội địa khác có chiều dài thiết kế từ 10 m trở lên, phải có tối thiểu 01 người tốt nghiệp đại học chuyên ngành đóng tàu thủy và 01 kỹ sư chuyên ngành máy tàu thủy;</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lastRenderedPageBreak/>
        <w:t>b) Đối với cơ sở đóng mới, hoán cải, sửa chữa phục hồi các loại phương tiện thủy nội địa chở khách từ 13 người đến dưới 50 người; phương tiện có động cơ với tổng công suất máy chính từ 50 sức ngựa đến dưới 135 sức ngựa; phương tiện có chiều dài thiết kế từ 20 m trở lên và có trọng tải toàn phần dưới 200 tấn; các phương tiện thủy nội địa chuyên dùng như ụ nổi, bến nổi, thiết bị thi công nổi, nhà nổi, tàu cuốc, tàu hút và các loại phương tiện khác có chiều dài thiết kế nhỏ hơn 10 m, mỗi bộ phận phải có tối thiểu 01 người tốt nghiệp trung cấp chuyên ngành đóng tàu thủy hoặc cao đẳng nghề chuyên ngành đóng tàu thủy và 01 người tốt nghiệp trung cấp chuyên ngành máy tàu thủy hoặc cao đẳng nghề chuyên ngành máy tàu thủy;</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c) Đối với cơ sở đóng mới, hoán cải, sửa chữa phục hồi các loại phương tiện có chiều dài thiết kế dưới 20 m; phương tiện có động cơ với tổng công suất máy chính dưới 50 sức ngựa; phương tiện có động cơ với tổng công suất máy chính đến 15 sức ngựa và có sức chở đến 12 người phải có tối thiểu 01 người có chứng chỉ sơ cấp công nghệ chế tạo vỏ tàu thủy;</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d) Đối với cơ sở đóng mới, hoán cải, sửa chữa phục hồi các phương tiện đóng bằng gỗ theo kinh nghiệm cổ truyền từ nhiều thế hệ nhân dân ở từng vùng và đã hoạt động an toàn được đăng kiểm công nhận (phương tiện dân gian) là các phương tiện có chiều dài thiết kế dưới 20 m; phương tiện có động cơ với tổng công suất máy chính dưới 50 sức ngựa; phương tiện chở hàng trọng tải toàn phần dưới 100 tấn; phương tiện có sức chở dưới 12 người phải có tối thiểu 01 thợ lành nghề có kinh nghiệm trong đóng mới, hoán cải, sửa chữa phục hồi phương tiện thủy nội địa đóng bằng gỗ”.</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2. Sửa đổi bổ sung Điều 14 như sau:</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b/>
          <w:bCs/>
          <w:szCs w:val="28"/>
        </w:rPr>
        <w:t>“Điều 14. Điều khoản chuyển tiếp</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Các cơ sở đóng mới, hoán cải, sửa chữa phục hồi phương tiện đã hoạt động trước ngày 01 tháng 5 năm 2015 thì vẫn được tiếp tục hoạt động đến hết ngày 31 tháng 12 năm 2020; sau đó nếu muốn tiếp tục thực hiện hoạt động thì phải đáp ứng các điều kiện quy định tại Nghị định này”.</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b/>
          <w:bCs/>
          <w:szCs w:val="28"/>
        </w:rPr>
        <w:t>Điều 4. Điều khoản thi hành</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1. Nghị định này có hiệu lực thi hành từ ngày ký ban hành.</w:t>
      </w:r>
    </w:p>
    <w:p w:rsidR="00332D9C" w:rsidRPr="00332D9C" w:rsidRDefault="00332D9C" w:rsidP="00332D9C">
      <w:pPr>
        <w:spacing w:after="120" w:line="240" w:lineRule="auto"/>
        <w:jc w:val="both"/>
        <w:rPr>
          <w:rFonts w:eastAsia="Times New Roman" w:cs="Times New Roman"/>
          <w:szCs w:val="28"/>
        </w:rPr>
      </w:pPr>
      <w:r w:rsidRPr="00332D9C">
        <w:rPr>
          <w:rFonts w:eastAsia="Times New Roman" w:cs="Times New Roman"/>
          <w:szCs w:val="28"/>
        </w:rPr>
        <w:t>2. Bộ trưởng, Thủ trưởng cơ quan ngang bộ, Thủ trưởng cơ quan thuộc Chính phủ, Chủ tịch Ủy ban nhân dân các tỉnh, thành phố trực thuộc trung ương, các tổ chức và cá nhân có liên quan chịu trách nhiệm thi hành Nghị định này./.</w:t>
      </w:r>
    </w:p>
    <w:p w:rsidR="00332D9C" w:rsidRPr="00332D9C" w:rsidRDefault="00332D9C" w:rsidP="00332D9C">
      <w:pPr>
        <w:spacing w:after="100" w:afterAutospacing="1" w:line="240" w:lineRule="auto"/>
        <w:ind w:left="-851"/>
        <w:rPr>
          <w:rFonts w:eastAsia="Times New Roman" w:cs="Times New Roman"/>
          <w:szCs w:val="28"/>
        </w:rPr>
      </w:pPr>
      <w:r w:rsidRPr="00332D9C">
        <w:rPr>
          <w:rFonts w:eastAsia="Times New Roman" w:cs="Times New Roman"/>
          <w:szCs w:val="28"/>
        </w:rPr>
        <w:t> </w:t>
      </w:r>
    </w:p>
    <w:tbl>
      <w:tblPr>
        <w:tblW w:w="12075" w:type="dxa"/>
        <w:tblInd w:w="108" w:type="dxa"/>
        <w:tblCellMar>
          <w:left w:w="0" w:type="dxa"/>
          <w:right w:w="0" w:type="dxa"/>
        </w:tblCellMar>
        <w:tblLook w:val="04A0" w:firstRow="1" w:lastRow="0" w:firstColumn="1" w:lastColumn="0" w:noHBand="0" w:noVBand="1"/>
      </w:tblPr>
      <w:tblGrid>
        <w:gridCol w:w="6192"/>
        <w:gridCol w:w="5883"/>
      </w:tblGrid>
      <w:tr w:rsidR="00332D9C" w:rsidRPr="00332D9C" w:rsidTr="00332D9C">
        <w:tc>
          <w:tcPr>
            <w:tcW w:w="4800" w:type="dxa"/>
            <w:tcBorders>
              <w:top w:val="nil"/>
              <w:left w:val="nil"/>
              <w:bottom w:val="nil"/>
              <w:right w:val="nil"/>
            </w:tcBorders>
            <w:tcMar>
              <w:top w:w="0" w:type="dxa"/>
              <w:left w:w="108" w:type="dxa"/>
              <w:bottom w:w="0" w:type="dxa"/>
              <w:right w:w="108" w:type="dxa"/>
            </w:tcMar>
            <w:hideMark/>
          </w:tcPr>
          <w:p w:rsidR="00332D9C" w:rsidRPr="00332D9C" w:rsidRDefault="00332D9C" w:rsidP="00332D9C">
            <w:pPr>
              <w:spacing w:after="0" w:line="330" w:lineRule="atLeast"/>
              <w:rPr>
                <w:rFonts w:eastAsia="Times New Roman" w:cs="Times New Roman"/>
                <w:color w:val="222222"/>
                <w:szCs w:val="28"/>
              </w:rPr>
            </w:pPr>
            <w:r w:rsidRPr="00332D9C">
              <w:rPr>
                <w:rFonts w:eastAsia="Times New Roman" w:cs="Times New Roman"/>
                <w:b/>
                <w:bCs/>
                <w:i/>
                <w:iCs/>
                <w:color w:val="222222"/>
                <w:szCs w:val="28"/>
              </w:rPr>
              <w:t>Nơi nhận:</w:t>
            </w:r>
            <w:r w:rsidRPr="00332D9C">
              <w:rPr>
                <w:rFonts w:eastAsia="Times New Roman" w:cs="Times New Roman"/>
                <w:color w:val="222222"/>
                <w:szCs w:val="28"/>
              </w:rPr>
              <w:br/>
              <w:t>- Ban Bí thư Trung ương Đảng;</w:t>
            </w:r>
            <w:r w:rsidRPr="00332D9C">
              <w:rPr>
                <w:rFonts w:eastAsia="Times New Roman" w:cs="Times New Roman"/>
                <w:color w:val="222222"/>
                <w:szCs w:val="28"/>
              </w:rPr>
              <w:br/>
              <w:t>- Thủ tướng, các Phó Thủ tướng Chính phủ;</w:t>
            </w:r>
            <w:r w:rsidRPr="00332D9C">
              <w:rPr>
                <w:rFonts w:eastAsia="Times New Roman" w:cs="Times New Roman"/>
                <w:color w:val="222222"/>
                <w:szCs w:val="28"/>
              </w:rPr>
              <w:br/>
              <w:t>- Các bộ, cơ quan ngang bộ, cơ quan thuộc Chính phủ;</w:t>
            </w:r>
            <w:r w:rsidRPr="00332D9C">
              <w:rPr>
                <w:rFonts w:eastAsia="Times New Roman" w:cs="Times New Roman"/>
                <w:color w:val="222222"/>
                <w:szCs w:val="28"/>
              </w:rPr>
              <w:br/>
              <w:t>- HĐND, UBND các tỉnh, thành phố trực thuộc trung ương;</w:t>
            </w:r>
            <w:r w:rsidRPr="00332D9C">
              <w:rPr>
                <w:rFonts w:eastAsia="Times New Roman" w:cs="Times New Roman"/>
                <w:color w:val="222222"/>
                <w:szCs w:val="28"/>
              </w:rPr>
              <w:br/>
              <w:t>- Văn phòng Trung ương và các Ban của Đảng;</w:t>
            </w:r>
            <w:r w:rsidRPr="00332D9C">
              <w:rPr>
                <w:rFonts w:eastAsia="Times New Roman" w:cs="Times New Roman"/>
                <w:color w:val="222222"/>
                <w:szCs w:val="28"/>
              </w:rPr>
              <w:br/>
            </w:r>
            <w:r w:rsidRPr="00332D9C">
              <w:rPr>
                <w:rFonts w:eastAsia="Times New Roman" w:cs="Times New Roman"/>
                <w:color w:val="222222"/>
                <w:szCs w:val="28"/>
              </w:rPr>
              <w:lastRenderedPageBreak/>
              <w:t>- Văn phòng Tổng Bí thư;</w:t>
            </w:r>
            <w:r w:rsidRPr="00332D9C">
              <w:rPr>
                <w:rFonts w:eastAsia="Times New Roman" w:cs="Times New Roman"/>
                <w:color w:val="222222"/>
                <w:szCs w:val="28"/>
              </w:rPr>
              <w:br/>
              <w:t>- Văn phòng Chủ tịch nước;</w:t>
            </w:r>
            <w:r w:rsidRPr="00332D9C">
              <w:rPr>
                <w:rFonts w:eastAsia="Times New Roman" w:cs="Times New Roman"/>
                <w:color w:val="222222"/>
                <w:szCs w:val="28"/>
              </w:rPr>
              <w:br/>
              <w:t>- Hội đồng dân tộc và các Ủy ban của Quốc hội;</w:t>
            </w:r>
            <w:r w:rsidRPr="00332D9C">
              <w:rPr>
                <w:rFonts w:eastAsia="Times New Roman" w:cs="Times New Roman"/>
                <w:color w:val="222222"/>
                <w:szCs w:val="28"/>
              </w:rPr>
              <w:br/>
              <w:t>- Văn phòng Quốc hội;</w:t>
            </w:r>
            <w:r w:rsidRPr="00332D9C">
              <w:rPr>
                <w:rFonts w:eastAsia="Times New Roman" w:cs="Times New Roman"/>
                <w:color w:val="222222"/>
                <w:szCs w:val="28"/>
              </w:rPr>
              <w:br/>
              <w:t>- Tòa án nhân dân tối cao;</w:t>
            </w:r>
            <w:r w:rsidRPr="00332D9C">
              <w:rPr>
                <w:rFonts w:eastAsia="Times New Roman" w:cs="Times New Roman"/>
                <w:color w:val="222222"/>
                <w:szCs w:val="28"/>
              </w:rPr>
              <w:br/>
              <w:t>- Viện kiểm sát nhân dân tối cao;</w:t>
            </w:r>
            <w:r w:rsidRPr="00332D9C">
              <w:rPr>
                <w:rFonts w:eastAsia="Times New Roman" w:cs="Times New Roman"/>
                <w:color w:val="222222"/>
                <w:szCs w:val="28"/>
              </w:rPr>
              <w:br/>
              <w:t>- Kiểm toán nhà nước;</w:t>
            </w:r>
            <w:r w:rsidRPr="00332D9C">
              <w:rPr>
                <w:rFonts w:eastAsia="Times New Roman" w:cs="Times New Roman"/>
                <w:color w:val="222222"/>
                <w:szCs w:val="28"/>
              </w:rPr>
              <w:br/>
              <w:t>- Ủy ban Giám sát tài chính Quốc gia;</w:t>
            </w:r>
            <w:r w:rsidRPr="00332D9C">
              <w:rPr>
                <w:rFonts w:eastAsia="Times New Roman" w:cs="Times New Roman"/>
                <w:color w:val="222222"/>
                <w:szCs w:val="28"/>
              </w:rPr>
              <w:br/>
              <w:t>- Ngân hàng Chính sách xã hội;</w:t>
            </w:r>
            <w:r w:rsidRPr="00332D9C">
              <w:rPr>
                <w:rFonts w:eastAsia="Times New Roman" w:cs="Times New Roman"/>
                <w:color w:val="222222"/>
                <w:szCs w:val="28"/>
              </w:rPr>
              <w:br/>
              <w:t>- Ngân hàng Phát triển Việt Nam;</w:t>
            </w:r>
            <w:r w:rsidRPr="00332D9C">
              <w:rPr>
                <w:rFonts w:eastAsia="Times New Roman" w:cs="Times New Roman"/>
                <w:color w:val="222222"/>
                <w:szCs w:val="28"/>
              </w:rPr>
              <w:br/>
              <w:t>- Ủy ban trung ương Mặt trận Tổ quốc Việt Nam;</w:t>
            </w:r>
            <w:r w:rsidRPr="00332D9C">
              <w:rPr>
                <w:rFonts w:eastAsia="Times New Roman" w:cs="Times New Roman"/>
                <w:color w:val="222222"/>
                <w:szCs w:val="28"/>
              </w:rPr>
              <w:br/>
              <w:t>- Cơ quan trung ương của các đoàn thể;</w:t>
            </w:r>
            <w:r w:rsidRPr="00332D9C">
              <w:rPr>
                <w:rFonts w:eastAsia="Times New Roman" w:cs="Times New Roman"/>
                <w:color w:val="222222"/>
                <w:szCs w:val="28"/>
              </w:rPr>
              <w:br/>
              <w:t>- VPCP: BTCN, các PCN, Trợ lý TTg, TGĐ Cổng TTĐT, </w:t>
            </w:r>
            <w:r w:rsidRPr="00332D9C">
              <w:rPr>
                <w:rFonts w:eastAsia="Times New Roman" w:cs="Times New Roman"/>
                <w:color w:val="222222"/>
                <w:szCs w:val="28"/>
              </w:rPr>
              <w:br/>
              <w:t>các Vụ, Cục, đơn vị trực thuộc, Công báo;</w:t>
            </w:r>
            <w:r w:rsidRPr="00332D9C">
              <w:rPr>
                <w:rFonts w:eastAsia="Times New Roman" w:cs="Times New Roman"/>
                <w:color w:val="222222"/>
                <w:szCs w:val="28"/>
              </w:rPr>
              <w:br/>
              <w:t>- Lưu: VT, CN (2). </w:t>
            </w:r>
            <w:r w:rsidRPr="00332D9C">
              <w:rPr>
                <w:rFonts w:eastAsia="Times New Roman" w:cs="Times New Roman"/>
                <w:color w:val="222222"/>
                <w:szCs w:val="28"/>
                <w:vertAlign w:val="subscript"/>
              </w:rPr>
              <w:t>XH</w:t>
            </w:r>
          </w:p>
        </w:tc>
        <w:tc>
          <w:tcPr>
            <w:tcW w:w="4560" w:type="dxa"/>
            <w:tcBorders>
              <w:top w:val="nil"/>
              <w:left w:val="nil"/>
              <w:bottom w:val="nil"/>
              <w:right w:val="nil"/>
            </w:tcBorders>
            <w:tcMar>
              <w:top w:w="0" w:type="dxa"/>
              <w:left w:w="108" w:type="dxa"/>
              <w:bottom w:w="0" w:type="dxa"/>
              <w:right w:w="108" w:type="dxa"/>
            </w:tcMar>
            <w:hideMark/>
          </w:tcPr>
          <w:p w:rsidR="00332D9C" w:rsidRPr="00332D9C" w:rsidRDefault="00332D9C" w:rsidP="00332D9C">
            <w:pPr>
              <w:spacing w:after="0" w:line="330" w:lineRule="atLeast"/>
              <w:rPr>
                <w:rFonts w:eastAsia="Times New Roman" w:cs="Times New Roman"/>
                <w:color w:val="222222"/>
                <w:szCs w:val="28"/>
              </w:rPr>
            </w:pPr>
            <w:r w:rsidRPr="00332D9C">
              <w:rPr>
                <w:rFonts w:eastAsia="Times New Roman" w:cs="Times New Roman"/>
                <w:b/>
                <w:bCs/>
                <w:color w:val="222222"/>
                <w:szCs w:val="28"/>
              </w:rPr>
              <w:lastRenderedPageBreak/>
              <w:t>TM. CHÍNH PHỦ</w:t>
            </w:r>
            <w:r w:rsidRPr="00332D9C">
              <w:rPr>
                <w:rFonts w:eastAsia="Times New Roman" w:cs="Times New Roman"/>
                <w:color w:val="222222"/>
                <w:szCs w:val="28"/>
              </w:rPr>
              <w:br/>
            </w:r>
            <w:r w:rsidRPr="00332D9C">
              <w:rPr>
                <w:rFonts w:eastAsia="Times New Roman" w:cs="Times New Roman"/>
                <w:b/>
                <w:bCs/>
                <w:color w:val="222222"/>
                <w:szCs w:val="28"/>
              </w:rPr>
              <w:t>THỦ TƯỚNG</w:t>
            </w:r>
            <w:r w:rsidRPr="00332D9C">
              <w:rPr>
                <w:rFonts w:eastAsia="Times New Roman" w:cs="Times New Roman"/>
                <w:color w:val="222222"/>
                <w:szCs w:val="28"/>
              </w:rPr>
              <w:br/>
            </w:r>
            <w:r w:rsidRPr="00332D9C">
              <w:rPr>
                <w:rFonts w:eastAsia="Times New Roman" w:cs="Times New Roman"/>
                <w:color w:val="222222"/>
                <w:szCs w:val="28"/>
              </w:rPr>
              <w:br/>
            </w:r>
            <w:r w:rsidRPr="00332D9C">
              <w:rPr>
                <w:rFonts w:eastAsia="Times New Roman" w:cs="Times New Roman"/>
                <w:color w:val="222222"/>
                <w:szCs w:val="28"/>
              </w:rPr>
              <w:br/>
            </w:r>
            <w:r w:rsidRPr="00332D9C">
              <w:rPr>
                <w:rFonts w:eastAsia="Times New Roman" w:cs="Times New Roman"/>
                <w:color w:val="222222"/>
                <w:szCs w:val="28"/>
              </w:rPr>
              <w:br/>
            </w:r>
            <w:r w:rsidRPr="00332D9C">
              <w:rPr>
                <w:rFonts w:eastAsia="Times New Roman" w:cs="Times New Roman"/>
                <w:color w:val="222222"/>
                <w:szCs w:val="28"/>
              </w:rPr>
              <w:br/>
            </w:r>
            <w:r w:rsidRPr="00332D9C">
              <w:rPr>
                <w:rFonts w:eastAsia="Times New Roman" w:cs="Times New Roman"/>
                <w:b/>
                <w:bCs/>
                <w:color w:val="222222"/>
                <w:szCs w:val="28"/>
              </w:rPr>
              <w:t>Nguyễn Xuân Phúc</w:t>
            </w:r>
          </w:p>
        </w:tc>
      </w:tr>
    </w:tbl>
    <w:p w:rsidR="00D30624" w:rsidRPr="00332D9C" w:rsidRDefault="00D30624">
      <w:pPr>
        <w:rPr>
          <w:rFonts w:cs="Times New Roman"/>
          <w:szCs w:val="28"/>
        </w:rPr>
      </w:pPr>
    </w:p>
    <w:sectPr w:rsidR="00D30624" w:rsidRPr="00332D9C" w:rsidSect="00332D9C">
      <w:pgSz w:w="11907" w:h="16840" w:code="9"/>
      <w:pgMar w:top="851" w:right="851" w:bottom="1134"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91"/>
    <w:rsid w:val="00254877"/>
    <w:rsid w:val="00332D9C"/>
    <w:rsid w:val="003B7891"/>
    <w:rsid w:val="00D3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dau-tu/luat-67-2014-qh13-quoc-hoi-91358-d1.html" TargetMode="External"/><Relationship Id="rId13" Type="http://schemas.openxmlformats.org/officeDocument/2006/relationships/hyperlink" Target="https://luatvietnam.vn/giao-thong/nghi-dinh-24-2015-nd-cp-chinh-phu-92915-d1.html" TargetMode="External"/><Relationship Id="rId3" Type="http://schemas.openxmlformats.org/officeDocument/2006/relationships/settings" Target="settings.xml"/><Relationship Id="rId7" Type="http://schemas.openxmlformats.org/officeDocument/2006/relationships/hyperlink" Target="https://luatvietnam.vn/giao-thong/luat-48-2014-qh13-quoc-hoi-87926-d1.html" TargetMode="External"/><Relationship Id="rId12" Type="http://schemas.openxmlformats.org/officeDocument/2006/relationships/hyperlink" Target="https://luatvietnam.vn/giao-duc/nghi-dinh-78-2016-nd-cp-chinh-phu-106791-d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giao-thong/luat-23-2004-qh11-quoc-hoi-16292-d1.html" TargetMode="External"/><Relationship Id="rId11" Type="http://schemas.openxmlformats.org/officeDocument/2006/relationships/hyperlink" Target="https://luatvietnam.vn/giao-thong/nghi-dinh-110-2014-nd-cp-chinh-phu-90945-d1.html" TargetMode="External"/><Relationship Id="rId5" Type="http://schemas.openxmlformats.org/officeDocument/2006/relationships/hyperlink" Target="https://luatvietnam.vn/co-cau-to-chuc/luat-76-2015-qh13-quoc-hoi-96361-d1.html" TargetMode="External"/><Relationship Id="rId15" Type="http://schemas.openxmlformats.org/officeDocument/2006/relationships/theme" Target="theme/theme1.xml"/><Relationship Id="rId10" Type="http://schemas.openxmlformats.org/officeDocument/2006/relationships/hyperlink" Target="https://luatvietnam.vn/giao-duc/luat-74-2014-qh13-quoc-hoi-91362-d1.html" TargetMode="External"/><Relationship Id="rId4" Type="http://schemas.openxmlformats.org/officeDocument/2006/relationships/webSettings" Target="webSettings.xml"/><Relationship Id="rId9" Type="http://schemas.openxmlformats.org/officeDocument/2006/relationships/hyperlink" Target="https://luatvietnam.vn/dau-tu/luat-03-2016-qh14-quoc-hoi-110999-d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 64</dc:creator>
  <cp:keywords/>
  <dc:description/>
  <cp:lastModifiedBy>win7 64</cp:lastModifiedBy>
  <cp:revision>2</cp:revision>
  <dcterms:created xsi:type="dcterms:W3CDTF">2018-11-06T02:35:00Z</dcterms:created>
  <dcterms:modified xsi:type="dcterms:W3CDTF">2018-11-06T02:36:00Z</dcterms:modified>
</cp:coreProperties>
</file>